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ascii="黑体" w:eastAsia="黑体"/>
          <w:b/>
          <w:sz w:val="48"/>
          <w:szCs w:val="48"/>
        </w:rPr>
      </w:pPr>
      <w:r>
        <w:rPr>
          <w:rFonts w:hint="eastAsia" w:ascii="黑体" w:eastAsia="黑体"/>
          <w:b/>
          <w:sz w:val="56"/>
          <w:szCs w:val="56"/>
          <w:lang w:val="en-US" w:eastAsia="zh-CN"/>
        </w:rPr>
        <w:t>投标保函系统</w:t>
      </w:r>
      <w:r>
        <w:rPr>
          <w:rFonts w:hint="eastAsia" w:ascii="黑体" w:eastAsia="黑体"/>
          <w:b/>
          <w:sz w:val="56"/>
          <w:szCs w:val="56"/>
        </w:rPr>
        <w:t>操作手册</w:t>
      </w:r>
    </w:p>
    <w:tbl>
      <w:tblPr>
        <w:tblStyle w:val="20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528" w:type="dxa"/>
            <w:tcBorders>
              <w:top w:val="single" w:color="0F6FC6" w:sz="4" w:space="0"/>
            </w:tcBorders>
            <w:noWrap w:val="0"/>
            <w:vAlign w:val="center"/>
          </w:tcPr>
          <w:p>
            <w:pPr>
              <w:pStyle w:val="48"/>
              <w:jc w:val="center"/>
              <w:rPr>
                <w:rFonts w:hint="eastAsia" w:ascii="宋体" w:hAnsi="宋体" w:eastAsia="宋体"/>
                <w:sz w:val="32"/>
                <w:szCs w:val="32"/>
              </w:rPr>
            </w:pPr>
            <w:r>
              <w:rPr>
                <w:rFonts w:hint="eastAsia" w:ascii="黑体" w:eastAsia="黑体"/>
                <w:b/>
                <w:sz w:val="44"/>
                <w:szCs w:val="44"/>
              </w:rPr>
              <w:t>&lt;阳光采购服务平台&gt;</w:t>
            </w:r>
          </w:p>
        </w:tc>
      </w:tr>
    </w:tbl>
    <w:p>
      <w:pPr>
        <w:ind w:firstLine="422" w:firstLineChars="200"/>
        <w:jc w:val="center"/>
        <w:rPr>
          <w:rFonts w:hint="eastAsia" w:ascii="黑体" w:eastAsia="黑体"/>
          <w:b/>
          <w:sz w:val="44"/>
          <w:szCs w:val="44"/>
        </w:rPr>
      </w:pPr>
      <w:r>
        <w:rPr>
          <w:rFonts w:hint="eastAsia"/>
          <w:b/>
        </w:rPr>
        <w:t>版本：&lt;</w:t>
      </w:r>
      <w:r>
        <w:rPr>
          <w:rFonts w:ascii="Arial" w:hAnsi="Arial" w:cs="Arial"/>
          <w:b/>
        </w:rPr>
        <w:t>1.</w:t>
      </w:r>
      <w:r>
        <w:rPr>
          <w:rFonts w:hint="eastAsia" w:ascii="Arial" w:hAnsi="Arial" w:cs="Arial"/>
          <w:b/>
          <w:lang w:val="en-US" w:eastAsia="zh-CN"/>
        </w:rPr>
        <w:t>0</w:t>
      </w:r>
      <w:r>
        <w:rPr>
          <w:rFonts w:hint="eastAsia"/>
          <w:b/>
        </w:rPr>
        <w:t>&gt;</w:t>
      </w:r>
    </w:p>
    <w:p>
      <w:pPr>
        <w:tabs>
          <w:tab w:val="left" w:pos="0"/>
        </w:tabs>
        <w:rPr>
          <w:rFonts w:hint="eastAsia" w:ascii="楷体_GB2312" w:eastAsia="楷体_GB2312"/>
        </w:rPr>
      </w:pPr>
    </w:p>
    <w:p>
      <w:pPr>
        <w:tabs>
          <w:tab w:val="left" w:pos="0"/>
        </w:tabs>
        <w:ind w:left="0" w:leftChars="0" w:firstLine="0" w:firstLineChars="0"/>
        <w:rPr>
          <w:rFonts w:hint="eastAsia" w:ascii="楷体_GB2312" w:eastAsia="楷体_GB2312"/>
        </w:rPr>
      </w:pPr>
    </w:p>
    <w:p>
      <w:pPr>
        <w:tabs>
          <w:tab w:val="left" w:pos="0"/>
        </w:tabs>
        <w:rPr>
          <w:rFonts w:hint="eastAsia" w:ascii="楷体_GB2312" w:eastAsia="楷体_GB2312"/>
        </w:rPr>
      </w:pPr>
    </w:p>
    <w:p>
      <w:pPr>
        <w:tabs>
          <w:tab w:val="left" w:pos="0"/>
        </w:tabs>
        <w:rPr>
          <w:rFonts w:hint="eastAsia" w:ascii="楷体_GB2312" w:eastAsia="楷体_GB2312"/>
        </w:rPr>
      </w:pPr>
    </w:p>
    <w:p>
      <w:pPr>
        <w:autoSpaceDE w:val="0"/>
        <w:autoSpaceDN w:val="0"/>
        <w:adjustRightInd w:val="0"/>
        <w:jc w:val="left"/>
        <w:rPr>
          <w:kern w:val="0"/>
        </w:rPr>
      </w:pPr>
    </w:p>
    <w:p>
      <w:pPr>
        <w:autoSpaceDE w:val="0"/>
        <w:autoSpaceDN w:val="0"/>
        <w:adjustRightInd w:val="0"/>
        <w:jc w:val="left"/>
        <w:rPr>
          <w:kern w:val="0"/>
        </w:rPr>
      </w:pPr>
    </w:p>
    <w:p>
      <w:pPr>
        <w:autoSpaceDE w:val="0"/>
        <w:autoSpaceDN w:val="0"/>
        <w:adjustRightInd w:val="0"/>
        <w:jc w:val="left"/>
        <w:rPr>
          <w:kern w:val="0"/>
        </w:rPr>
      </w:pPr>
    </w:p>
    <w:p>
      <w:pPr>
        <w:autoSpaceDE w:val="0"/>
        <w:autoSpaceDN w:val="0"/>
        <w:adjustRightInd w:val="0"/>
        <w:jc w:val="left"/>
        <w:rPr>
          <w:kern w:val="0"/>
        </w:rPr>
      </w:pPr>
    </w:p>
    <w:p>
      <w:pPr>
        <w:autoSpaceDE w:val="0"/>
        <w:autoSpaceDN w:val="0"/>
        <w:adjustRightInd w:val="0"/>
        <w:jc w:val="left"/>
        <w:rPr>
          <w:kern w:val="0"/>
        </w:rPr>
      </w:pPr>
    </w:p>
    <w:p>
      <w:pPr>
        <w:autoSpaceDE w:val="0"/>
        <w:autoSpaceDN w:val="0"/>
        <w:adjustRightInd w:val="0"/>
        <w:ind w:firstLine="420" w:firstLineChars="20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2129155" cy="546100"/>
            <wp:effectExtent l="0" t="0" r="4445" b="6350"/>
            <wp:docPr id="7" name="图片 7" descr="阳光采购服务平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阳光采购服务平台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560" w:firstLineChars="200"/>
        <w:jc w:val="center"/>
        <w:rPr>
          <w:rFonts w:hint="eastAsia" w:ascii="楷体" w:hAnsi="楷体" w:eastAsia="楷体"/>
          <w:kern w:val="0"/>
          <w:sz w:val="28"/>
          <w:szCs w:val="28"/>
        </w:rPr>
      </w:pPr>
      <w:r>
        <w:rPr>
          <w:rFonts w:hint="eastAsia" w:ascii="楷体" w:hAnsi="楷体" w:eastAsia="楷体"/>
          <w:kern w:val="0"/>
          <w:sz w:val="28"/>
          <w:szCs w:val="28"/>
        </w:rPr>
        <w:t>20</w:t>
      </w:r>
      <w:r>
        <w:rPr>
          <w:rFonts w:hint="eastAsia" w:ascii="楷体" w:hAnsi="楷体" w:eastAsia="楷体"/>
          <w:kern w:val="0"/>
          <w:sz w:val="28"/>
          <w:szCs w:val="28"/>
          <w:lang w:val="en-US" w:eastAsia="zh-CN"/>
        </w:rPr>
        <w:t>22</w:t>
      </w:r>
      <w:r>
        <w:rPr>
          <w:rFonts w:hint="eastAsia" w:ascii="楷体" w:hAnsi="楷体" w:eastAsia="楷体"/>
          <w:kern w:val="0"/>
          <w:sz w:val="28"/>
          <w:szCs w:val="28"/>
        </w:rPr>
        <w:t>年</w:t>
      </w:r>
      <w:r>
        <w:rPr>
          <w:rFonts w:hint="eastAsia" w:ascii="楷体" w:hAnsi="楷体" w:eastAsia="楷体"/>
          <w:kern w:val="0"/>
          <w:sz w:val="28"/>
          <w:szCs w:val="28"/>
          <w:lang w:val="en-US" w:eastAsia="zh-CN"/>
        </w:rPr>
        <w:t>5</w:t>
      </w:r>
      <w:bookmarkStart w:id="36" w:name="_GoBack"/>
      <w:bookmarkEnd w:id="36"/>
      <w:r>
        <w:rPr>
          <w:rFonts w:hint="eastAsia" w:ascii="楷体" w:hAnsi="楷体" w:eastAsia="楷体"/>
          <w:kern w:val="0"/>
          <w:sz w:val="28"/>
          <w:szCs w:val="28"/>
        </w:rPr>
        <w:t>月</w:t>
      </w:r>
    </w:p>
    <w:p>
      <w:pPr>
        <w:autoSpaceDE w:val="0"/>
        <w:autoSpaceDN w:val="0"/>
        <w:adjustRightInd w:val="0"/>
        <w:jc w:val="left"/>
        <w:rPr>
          <w:kern w:val="0"/>
        </w:rPr>
      </w:pPr>
    </w:p>
    <w:p>
      <w:pPr>
        <w:jc w:val="center"/>
        <w:rPr>
          <w:rFonts w:hint="default" w:ascii="宋体" w:hAnsi="宋体" w:eastAsia="宋体" w:cs="宋体"/>
          <w:b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52"/>
          <w:lang w:val="zh-CN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850" w:footer="992" w:gutter="0"/>
          <w:pgNumType w:fmt="decimal"/>
          <w:cols w:space="0" w:num="1"/>
          <w:rtlGutter w:val="0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851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ascii="Times New Roman" w:hAnsi="Times New Roman" w:eastAsia="思源宋体 CN Light"/>
              <w:b/>
              <w:spacing w:val="198"/>
              <w:kern w:val="20"/>
              <w:sz w:val="32"/>
            </w:rPr>
          </w:pPr>
          <w:r>
            <w:rPr>
              <w:rFonts w:ascii="Times New Roman" w:hAnsi="Times New Roman" w:eastAsia="思源宋体 CN Light"/>
              <w:b/>
              <w:spacing w:val="198"/>
              <w:kern w:val="20"/>
              <w:sz w:val="32"/>
            </w:rPr>
            <w:t>目录</w:t>
          </w:r>
        </w:p>
        <w:p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_Toc18250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一、 </w:t>
          </w:r>
          <w:r>
            <w:rPr>
              <w:rFonts w:hint="eastAsia"/>
              <w:lang w:val="en-US" w:eastAsia="zh-CN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_Toc18250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_Toc5280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1.1、 </w:t>
          </w:r>
          <w:r>
            <w:rPr>
              <w:rFonts w:hint="eastAsia"/>
              <w:lang w:val="en-US" w:eastAsia="zh-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_Toc5280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_Toc12479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1.1.1、 </w:t>
          </w:r>
          <w:r>
            <w:rPr>
              <w:rFonts w:hint="eastAsia"/>
              <w:lang w:val="en-US" w:eastAsia="zh-CN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_Toc12479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_Toc15852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1.1.2、 </w:t>
          </w:r>
          <w:r>
            <w:rPr>
              <w:rFonts w:hint="eastAsia"/>
              <w:lang w:val="en-US" w:eastAsia="zh-CN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_Toc15852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_Toc26621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二、 </w:t>
          </w:r>
          <w:r>
            <w:rPr>
              <w:rFonts w:hint="eastAsia"/>
              <w:lang w:val="en-US" w:eastAsia="zh-CN"/>
            </w:rPr>
            <w:t>保函收费设置</w:t>
          </w:r>
          <w:r>
            <w:tab/>
          </w:r>
          <w:r>
            <w:fldChar w:fldCharType="begin"/>
          </w:r>
          <w:r>
            <w:instrText xml:space="preserve"> PAGEREF _Toc26621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_Toc21102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三、 </w:t>
          </w:r>
          <w:r>
            <w:rPr>
              <w:rFonts w:hint="eastAsia"/>
              <w:lang w:val="en-US" w:eastAsia="zh-CN"/>
            </w:rPr>
            <w:t>供应商购买保函</w:t>
          </w:r>
          <w:r>
            <w:tab/>
          </w:r>
          <w:r>
            <w:fldChar w:fldCharType="begin"/>
          </w:r>
          <w:r>
            <w:instrText xml:space="preserve"> PAGEREF _Toc21102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_Toc217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3.1、 </w:t>
          </w:r>
          <w:r>
            <w:rPr>
              <w:rFonts w:hint="eastAsia"/>
              <w:lang w:val="en-US" w:eastAsia="zh-CN"/>
            </w:rPr>
            <w:t>选择标段</w:t>
          </w:r>
          <w:r>
            <w:tab/>
          </w:r>
          <w:r>
            <w:fldChar w:fldCharType="begin"/>
          </w:r>
          <w:r>
            <w:instrText xml:space="preserve"> PAGEREF _Toc217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_Toc30033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3.2、 </w:t>
          </w:r>
          <w:r>
            <w:rPr>
              <w:rFonts w:hint="eastAsia"/>
              <w:lang w:val="en-US" w:eastAsia="zh-CN"/>
            </w:rPr>
            <w:t>用户中心</w:t>
          </w:r>
          <w:r>
            <w:tab/>
          </w:r>
          <w:r>
            <w:fldChar w:fldCharType="begin"/>
          </w:r>
          <w:r>
            <w:instrText xml:space="preserve"> PAGEREF _Toc30033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_Toc32243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3.3、 </w:t>
          </w:r>
          <w:r>
            <w:rPr>
              <w:rFonts w:hint="eastAsia"/>
              <w:lang w:val="en-US" w:eastAsia="zh-CN"/>
            </w:rPr>
            <w:t>账户中心</w:t>
          </w:r>
          <w:r>
            <w:tab/>
          </w:r>
          <w:r>
            <w:fldChar w:fldCharType="begin"/>
          </w:r>
          <w:r>
            <w:instrText xml:space="preserve"> PAGEREF _Toc32243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_Toc16993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3.4、 </w:t>
          </w:r>
          <w:r>
            <w:rPr>
              <w:rFonts w:hint="eastAsia"/>
              <w:lang w:val="en-US" w:eastAsia="zh-CN"/>
            </w:rPr>
            <w:t>选择金融产品</w:t>
          </w:r>
          <w:r>
            <w:tab/>
          </w:r>
          <w:r>
            <w:fldChar w:fldCharType="begin"/>
          </w:r>
          <w:r>
            <w:instrText xml:space="preserve"> PAGEREF _Toc16993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_Toc26826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3.5、 </w:t>
          </w:r>
          <w:r>
            <w:rPr>
              <w:rFonts w:hint="eastAsia"/>
              <w:lang w:val="en-US" w:eastAsia="zh-CN"/>
            </w:rPr>
            <w:t>填写经办人信息</w:t>
          </w:r>
          <w:r>
            <w:tab/>
          </w:r>
          <w:r>
            <w:fldChar w:fldCharType="begin"/>
          </w:r>
          <w:r>
            <w:instrText xml:space="preserve"> PAGEREF _Toc26826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_Toc11875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3.6、 </w:t>
          </w:r>
          <w:r>
            <w:rPr>
              <w:rFonts w:hint="eastAsia"/>
              <w:lang w:val="en-US" w:eastAsia="zh-CN"/>
            </w:rPr>
            <w:t>保费支付</w:t>
          </w:r>
          <w:r>
            <w:tab/>
          </w:r>
          <w:r>
            <w:fldChar w:fldCharType="begin"/>
          </w:r>
          <w:r>
            <w:instrText xml:space="preserve"> PAGEREF _Toc11875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_Toc14157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3.7、 </w:t>
          </w:r>
          <w:r>
            <w:rPr>
              <w:rFonts w:hint="eastAsia"/>
              <w:lang w:val="en-US" w:eastAsia="zh-CN"/>
            </w:rPr>
            <w:t>保函发放</w:t>
          </w:r>
          <w:r>
            <w:tab/>
          </w:r>
          <w:r>
            <w:fldChar w:fldCharType="begin"/>
          </w:r>
          <w:r>
            <w:instrText xml:space="preserve"> PAGEREF _Toc14157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_Toc17117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3.8、 </w:t>
          </w:r>
          <w:r>
            <w:rPr>
              <w:rFonts w:hint="eastAsia"/>
              <w:lang w:val="en-US" w:eastAsia="zh-CN"/>
            </w:rPr>
            <w:t>我的订单</w:t>
          </w:r>
          <w:r>
            <w:tab/>
          </w:r>
          <w:r>
            <w:fldChar w:fldCharType="begin"/>
          </w:r>
          <w:r>
            <w:instrText xml:space="preserve"> PAGEREF _Toc17117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_Toc21237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四、 </w:t>
          </w:r>
          <w:r>
            <w:rPr>
              <w:rFonts w:hint="eastAsia"/>
              <w:lang w:val="en-US" w:eastAsia="zh-CN"/>
            </w:rPr>
            <w:t>发票管理</w:t>
          </w:r>
          <w:r>
            <w:tab/>
          </w:r>
          <w:r>
            <w:fldChar w:fldCharType="begin"/>
          </w:r>
          <w:r>
            <w:instrText xml:space="preserve"> PAGEREF _Toc21237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_Toc22856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五、 </w:t>
          </w:r>
          <w:r>
            <w:rPr>
              <w:rFonts w:hint="eastAsia"/>
              <w:lang w:val="en-US" w:eastAsia="zh-CN"/>
            </w:rPr>
            <w:t>退保</w:t>
          </w:r>
          <w:r>
            <w:tab/>
          </w:r>
          <w:r>
            <w:fldChar w:fldCharType="begin"/>
          </w:r>
          <w:r>
            <w:instrText xml:space="preserve"> PAGEREF _Toc22856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3"/>
        <w:bidi w:val="0"/>
        <w:rPr>
          <w:rFonts w:hint="eastAsia"/>
          <w:lang w:val="en-US" w:eastAsia="zh-CN"/>
        </w:rPr>
        <w:sectPr>
          <w:headerReference r:id="rId11" w:type="default"/>
          <w:footerReference r:id="rId12" w:type="default"/>
          <w:pgSz w:w="11906" w:h="16838"/>
          <w:pgMar w:top="1440" w:right="1797" w:bottom="1440" w:left="1797" w:header="680" w:footer="737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0" w:name="_Toc18250"/>
      <w:r>
        <w:rPr>
          <w:rFonts w:hint="eastAsia"/>
          <w:lang w:val="en-US" w:eastAsia="zh-CN"/>
        </w:rPr>
        <w:t>系统前期准备</w:t>
      </w:r>
      <w:bookmarkEnd w:id="0"/>
    </w:p>
    <w:p>
      <w:pPr>
        <w:pStyle w:val="4"/>
        <w:bidi w:val="0"/>
        <w:rPr>
          <w:rFonts w:hint="eastAsia"/>
          <w:lang w:val="en-US" w:eastAsia="zh-CN"/>
        </w:rPr>
      </w:pPr>
      <w:bookmarkStart w:id="1" w:name="_Toc387148289"/>
      <w:bookmarkStart w:id="2" w:name="_Toc5280"/>
      <w:bookmarkStart w:id="3" w:name="_Toc466902663"/>
      <w:bookmarkStart w:id="4" w:name="_Toc346183639"/>
      <w:bookmarkStart w:id="5" w:name="_Toc422146039"/>
      <w:bookmarkStart w:id="6" w:name="_Toc387133154"/>
      <w:r>
        <w:rPr>
          <w:rFonts w:hint="eastAsia"/>
          <w:lang w:val="en-US" w:eastAsia="zh-CN"/>
        </w:rPr>
        <w:t>浏览器配置</w:t>
      </w:r>
      <w:bookmarkEnd w:id="1"/>
      <w:bookmarkEnd w:id="2"/>
      <w:bookmarkEnd w:id="3"/>
      <w:bookmarkEnd w:id="4"/>
      <w:bookmarkEnd w:id="5"/>
      <w:bookmarkEnd w:id="6"/>
    </w:p>
    <w:p>
      <w:pPr>
        <w:pStyle w:val="5"/>
        <w:bidi w:val="0"/>
        <w:rPr>
          <w:rFonts w:hint="eastAsia"/>
          <w:lang w:val="en-US" w:eastAsia="zh-CN"/>
        </w:rPr>
      </w:pPr>
      <w:bookmarkStart w:id="7" w:name="_Toc422146040"/>
      <w:bookmarkStart w:id="8" w:name="_Toc387148290"/>
      <w:bookmarkStart w:id="9" w:name="_Toc387133155"/>
      <w:bookmarkStart w:id="10" w:name="_Toc346183640"/>
      <w:bookmarkStart w:id="11" w:name="_Toc12479"/>
      <w:bookmarkStart w:id="12" w:name="_Toc466902664"/>
      <w:r>
        <w:rPr>
          <w:rFonts w:hint="eastAsia"/>
          <w:lang w:val="en-US" w:eastAsia="zh-CN"/>
        </w:rPr>
        <w:t>Internet选项</w:t>
      </w:r>
      <w:bookmarkEnd w:id="7"/>
      <w:bookmarkEnd w:id="8"/>
      <w:bookmarkEnd w:id="9"/>
      <w:bookmarkEnd w:id="10"/>
      <w:bookmarkEnd w:id="11"/>
      <w:bookmarkEnd w:id="12"/>
    </w:p>
    <w:p>
      <w:pPr>
        <w:bidi w:val="0"/>
        <w:rPr>
          <w:rFonts w:hint="eastAsia"/>
        </w:rPr>
      </w:pPr>
      <w:r>
        <w:rPr>
          <w:rFonts w:hint="eastAsia"/>
        </w:rPr>
        <w:t>为了让系统插件能够正常工作，请按照以下步骤进行浏览器的配置。</w:t>
      </w:r>
    </w:p>
    <w:p>
      <w:pPr>
        <w:bidi w:val="0"/>
        <w:rPr>
          <w:rFonts w:hint="eastAsia"/>
        </w:rPr>
      </w:pPr>
      <w:r>
        <w:rPr>
          <w:rFonts w:hint="eastAsia"/>
        </w:rPr>
        <w:t>1、打开浏览器，在“工具”菜单→“Internet选项”</w:t>
      </w:r>
    </w:p>
    <w:p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161665" cy="27940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2、弹出对话框之后，请选择“安全”选项卡，具体的界面如下图：</w:t>
      </w:r>
    </w:p>
    <w:p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655570" cy="2835275"/>
            <wp:effectExtent l="0" t="0" r="1143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3、点击绿色的“受信任的站点”的图片，会看到如下图所示的界面：</w:t>
      </w:r>
    </w:p>
    <w:p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200400" cy="38214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4、点击“站点” 按钮，出现如下对话框：</w:t>
      </w:r>
    </w:p>
    <w:p>
      <w:pPr>
        <w:pStyle w:val="47"/>
        <w:bidi w:val="0"/>
        <w:rPr>
          <w:rFonts w:hint="eastAsia"/>
        </w:rPr>
      </w:pPr>
      <w:r>
        <w:drawing>
          <wp:inline distT="0" distB="0" distL="114300" distR="114300">
            <wp:extent cx="4171950" cy="347662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5、设置自定义安全级别，开放Activex的访问权限：</w:t>
      </w:r>
    </w:p>
    <w:p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73120" cy="41059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①</w:t>
      </w:r>
      <w:r>
        <w:rPr>
          <w:rFonts w:hint="eastAsia"/>
          <w:lang w:val="en-US" w:eastAsia="zh-CN"/>
        </w:rPr>
        <w:t>会出现一个窗口，把其中的Activex控件和插件的设置全部改为启用。</w:t>
      </w:r>
    </w:p>
    <w:p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98520" cy="36315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②文件下载设置，开放文件下载的权限：设置为启用。</w:t>
      </w:r>
    </w:p>
    <w:p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528060" cy="37096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3" w:name="_Toc346183641"/>
      <w:bookmarkStart w:id="14" w:name="_Toc387133156"/>
      <w:bookmarkStart w:id="15" w:name="_Toc422146041"/>
      <w:bookmarkStart w:id="16" w:name="_Toc387148291"/>
      <w:bookmarkStart w:id="17" w:name="_Toc466902665"/>
      <w:bookmarkStart w:id="18" w:name="_Toc15852"/>
      <w:r>
        <w:rPr>
          <w:rFonts w:hint="eastAsia"/>
          <w:lang w:val="en-US" w:eastAsia="zh-CN"/>
        </w:rPr>
        <w:t>关闭拦截工具</w:t>
      </w:r>
      <w:bookmarkEnd w:id="13"/>
      <w:bookmarkEnd w:id="14"/>
      <w:bookmarkEnd w:id="15"/>
      <w:bookmarkEnd w:id="16"/>
      <w:bookmarkEnd w:id="17"/>
      <w:bookmarkEnd w:id="18"/>
    </w:p>
    <w:p>
      <w:pPr>
        <w:bidi w:val="0"/>
        <w:rPr>
          <w:rFonts w:hint="eastAsia"/>
        </w:rPr>
      </w:pPr>
      <w:r>
        <w:rPr>
          <w:rFonts w:hint="eastAsia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47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098415" cy="2320290"/>
            <wp:effectExtent l="0" t="0" r="698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9" w:name="_Toc26621"/>
      <w:r>
        <w:rPr>
          <w:rFonts w:hint="eastAsia"/>
          <w:lang w:val="en-US" w:eastAsia="zh-CN"/>
        </w:rPr>
        <w:t>保函收费设置</w:t>
      </w:r>
      <w:bookmarkEnd w:id="1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采购公告页面选择是否收取保函费用，选择是后再选择标段信息，之后设置标段保证金金额，保费金额为：保证金金额*费率。</w:t>
      </w:r>
      <w:r>
        <w:rPr>
          <w:rFonts w:hint="eastAsia"/>
          <w:b/>
          <w:bCs/>
          <w:u w:val="single"/>
          <w:lang w:val="en-US" w:eastAsia="zh-CN"/>
        </w:rPr>
        <w:t>该信息由采购人或者代理公司人员设置。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8120" cy="1047115"/>
            <wp:effectExtent l="0" t="0" r="17780" b="635"/>
            <wp:docPr id="3" name="图片 3" descr="6d6dbf7c0fb66de3504f8040ca1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6dbf7c0fb66de3504f8040ca1e1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0" w:name="_Toc21102"/>
      <w:r>
        <w:rPr>
          <w:rFonts w:hint="eastAsia"/>
          <w:lang w:val="en-US" w:eastAsia="zh-CN"/>
        </w:rPr>
        <w:t>供应商购买保函</w:t>
      </w:r>
      <w:bookmarkEnd w:id="20"/>
    </w:p>
    <w:p>
      <w:pPr>
        <w:pStyle w:val="4"/>
        <w:tabs>
          <w:tab w:val="left" w:pos="0"/>
        </w:tabs>
        <w:bidi w:val="0"/>
        <w:rPr>
          <w:rFonts w:hint="default"/>
          <w:lang w:val="en-US" w:eastAsia="zh-CN"/>
        </w:rPr>
      </w:pPr>
      <w:bookmarkStart w:id="21" w:name="_Toc217"/>
      <w:bookmarkStart w:id="22" w:name="_Toc32572"/>
      <w:r>
        <w:rPr>
          <w:rFonts w:hint="eastAsia"/>
          <w:lang w:val="en-US" w:eastAsia="zh-CN"/>
        </w:rPr>
        <w:t>选择标段</w:t>
      </w:r>
      <w:bookmarkEnd w:id="21"/>
      <w:bookmarkEnd w:id="22"/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供应商系统-我的项目-项目流程-投标保函页面，点击“电子保函缴纳跳转”直接跳转保函系统购买电子保函。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368550"/>
            <wp:effectExtent l="0" t="0" r="381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3" w:name="_Toc30033"/>
      <w:r>
        <w:rPr>
          <w:rFonts w:hint="eastAsia"/>
          <w:lang w:val="en-US" w:eastAsia="zh-CN"/>
        </w:rPr>
        <w:t>用户中心</w:t>
      </w:r>
      <w:bookmarkEnd w:id="2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登录阳光采购服务平台金融服务平台后，点击右上角“用户中心”，进入用户中心界面，如下图：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00300"/>
            <wp:effectExtent l="0" t="0" r="1016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4" w:name="_Toc32243"/>
      <w:r>
        <w:rPr>
          <w:rFonts w:hint="eastAsia"/>
          <w:lang w:val="en-US" w:eastAsia="zh-CN"/>
        </w:rPr>
        <w:t>账户中心</w:t>
      </w:r>
      <w:bookmarkEnd w:id="24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基本功能：企业信息维护。投标人在登录电子保函平台后，保函平台会从交易平台获取企业的部分信息，投标人可以在“用户中心-企业信息”中完善企业其他信息。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直接在企业信息页面完成企业基本信息，完成后点击“保存企业信息”，如下图：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2301875"/>
            <wp:effectExtent l="0" t="0" r="6350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25" w:name="_Toc16993"/>
      <w:bookmarkStart w:id="26" w:name="_Toc29843"/>
      <w:r>
        <w:rPr>
          <w:rFonts w:hint="eastAsia"/>
          <w:lang w:val="en-US" w:eastAsia="zh-CN"/>
        </w:rPr>
        <w:t>选择金融产品</w:t>
      </w:r>
      <w:bookmarkEnd w:id="25"/>
      <w:bookmarkEnd w:id="26"/>
    </w:p>
    <w:p>
      <w:pPr>
        <w:bidi w:val="0"/>
        <w:rPr>
          <w:rFonts w:hint="eastAsia" w:ascii="思源宋体 CN" w:hAnsi="思源宋体 CN" w:eastAsia="思源宋体 CN" w:cstheme="minorBidi"/>
          <w:szCs w:val="21"/>
          <w:lang w:val="en-US" w:eastAsia="zh-CN"/>
        </w:rPr>
      </w:pPr>
      <w:r>
        <w:rPr>
          <w:rFonts w:hint="eastAsia"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1、选择标段后，进入选择金融产品页面，选择相应的金融产品，如下图。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040" cy="3406775"/>
            <wp:effectExtent l="0" t="0" r="3810" b="31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点击对应保函机构，查看产品名称、收费规则、基本要求信息，确认完成后点击“确认”按钮，如下图：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7485" cy="2726690"/>
            <wp:effectExtent l="0" t="0" r="18415" b="1651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27" w:name="_Toc26826"/>
      <w:bookmarkStart w:id="28" w:name="_Toc25176"/>
      <w:r>
        <w:rPr>
          <w:rFonts w:hint="eastAsia"/>
          <w:lang w:val="en-US" w:eastAsia="zh-CN"/>
        </w:rPr>
        <w:t>填写经办人信息</w:t>
      </w:r>
      <w:bookmarkEnd w:id="27"/>
      <w:bookmarkEnd w:id="28"/>
    </w:p>
    <w:p>
      <w:pPr>
        <w:bidi w:val="0"/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操作步骤：</w:t>
      </w:r>
    </w:p>
    <w:p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在经办人信息页面，填写页面信息，点击“确认”按钮，进入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保函发放</w:t>
      </w: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页面。</w:t>
      </w:r>
      <w:r>
        <w:drawing>
          <wp:inline distT="0" distB="0" distL="114300" distR="114300">
            <wp:extent cx="5271135" cy="2408555"/>
            <wp:effectExtent l="0" t="0" r="12065" b="444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系统显示保函申请成功后跳转至保费支付页面。</w:t>
      </w:r>
    </w:p>
    <w:p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29" w:name="_Toc11898"/>
      <w:bookmarkStart w:id="30" w:name="_Toc11875"/>
      <w:r>
        <w:rPr>
          <w:rFonts w:hint="eastAsia"/>
          <w:lang w:val="en-US" w:eastAsia="zh-CN"/>
        </w:rPr>
        <w:t>保费支付</w:t>
      </w:r>
      <w:bookmarkEnd w:id="29"/>
      <w:bookmarkEnd w:id="30"/>
    </w:p>
    <w:p>
      <w:pPr>
        <w:numPr>
          <w:ilvl w:val="0"/>
          <w:numId w:val="3"/>
        </w:numPr>
        <w:ind w:firstLine="420" w:firstLineChars="200"/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保费支付页面，选择支付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方式</w:t>
      </w: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，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并填写经办人手机号后，点击“确认支付”</w:t>
      </w: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进行保费支付。</w:t>
      </w:r>
    </w:p>
    <w:p>
      <w:pPr>
        <w:pStyle w:val="2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kern w:val="2"/>
          <w:sz w:val="21"/>
          <w:szCs w:val="24"/>
          <w:lang w:val="en-US" w:eastAsia="zh-CN" w:bidi="ar-SA"/>
        </w:rPr>
        <w:t>注：保费支付请使用供应商填写的基本户账号支付。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215" cy="355473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2、保费支付完成后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并</w:t>
      </w: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到账成功后，系统生成保函，会自动跳转到保函发放页面。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408555"/>
            <wp:effectExtent l="0" t="0" r="8890" b="444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31" w:name="_Toc20754"/>
      <w:bookmarkStart w:id="32" w:name="_Toc14157"/>
      <w:r>
        <w:rPr>
          <w:rFonts w:hint="eastAsia"/>
          <w:lang w:val="en-US" w:eastAsia="zh-CN"/>
        </w:rPr>
        <w:t>保函发放</w:t>
      </w:r>
      <w:bookmarkEnd w:id="31"/>
      <w:bookmarkEnd w:id="32"/>
    </w:p>
    <w:p>
      <w:pPr>
        <w:ind w:left="0" w:leftChars="0" w:firstLine="420" w:firstLineChars="200"/>
        <w:rPr>
          <w:rFonts w:hint="default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保函发放页面，点击“在线预览”、“下载PDF”按钮，可以在线查看、下载对应文件。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8120" cy="2414270"/>
            <wp:effectExtent l="0" t="0" r="5080" b="1143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3" w:name="_Toc17117"/>
      <w:r>
        <w:rPr>
          <w:rFonts w:hint="eastAsia"/>
          <w:lang w:val="en-US" w:eastAsia="zh-CN"/>
        </w:rPr>
        <w:t>我的订单</w:t>
      </w:r>
      <w:bookmarkEnd w:id="33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</w:rPr>
        <w:t>基本功能：</w:t>
      </w:r>
      <w:r>
        <w:rPr>
          <w:rFonts w:hint="eastAsia"/>
          <w:lang w:val="en-US" w:eastAsia="zh-CN"/>
        </w:rPr>
        <w:t>查看我申请的金融服务信息，点击“查看”可查看具体申请流程。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372360"/>
            <wp:effectExtent l="0" t="0" r="8255" b="889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2406015"/>
            <wp:effectExtent l="0" t="0" r="8255" b="1333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3"/>
        <w:tabs>
          <w:tab w:val="left" w:pos="0"/>
        </w:tabs>
        <w:bidi w:val="0"/>
        <w:ind w:left="0" w:leftChars="0" w:firstLineChars="0"/>
        <w:rPr>
          <w:rFonts w:hint="default" w:eastAsia="思源宋体 CN Light"/>
          <w:lang w:val="en-US" w:eastAsia="zh-CN"/>
        </w:rPr>
      </w:pPr>
      <w:bookmarkStart w:id="34" w:name="_Toc21237"/>
      <w:r>
        <w:rPr>
          <w:rFonts w:hint="eastAsia"/>
          <w:lang w:val="en-US" w:eastAsia="zh-CN"/>
        </w:rPr>
        <w:t>发票管理</w:t>
      </w:r>
      <w:bookmarkEnd w:id="34"/>
    </w:p>
    <w:p>
      <w:pPr>
        <w:rPr>
          <w:rFonts w:hint="default"/>
          <w:highlight w:val="none"/>
          <w:lang w:val="en-US" w:eastAsia="zh-CN"/>
        </w:rPr>
      </w:pPr>
      <w:r>
        <w:rPr>
          <w:rFonts w:hint="default"/>
          <w:lang w:val="en-US" w:eastAsia="zh-CN"/>
        </w:rPr>
        <w:t>功能说明</w:t>
      </w:r>
      <w:r>
        <w:rPr>
          <w:rFonts w:hint="default"/>
          <w:highlight w:val="none"/>
          <w:lang w:val="en-US" w:eastAsia="zh-CN"/>
        </w:rPr>
        <w:t>：</w:t>
      </w:r>
      <w:r>
        <w:rPr>
          <w:rFonts w:hint="eastAsia"/>
          <w:highlight w:val="none"/>
          <w:lang w:val="en-US" w:eastAsia="zh-CN"/>
        </w:rPr>
        <w:t>开具发票</w:t>
      </w:r>
      <w:r>
        <w:rPr>
          <w:rFonts w:hint="default"/>
          <w:highlight w:val="none"/>
          <w:lang w:val="en-US" w:eastAsia="zh-CN"/>
        </w:rPr>
        <w:t>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highlight w:val="none"/>
          <w:lang w:val="en-US" w:eastAsia="zh-CN"/>
        </w:rPr>
        <w:t>注意：发票开具需在开标时间之后进行。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操作步骤：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在保函发放页面下的申请详情菜单栏，点击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发票管理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按钮，如下图：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8120" cy="3224530"/>
            <wp:effectExtent l="0" t="0" r="1778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在发票管理页面填写企业相关信息后，点击“提交申请”按钮，即可开具发票。如下图：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105660"/>
            <wp:effectExtent l="0" t="0" r="6350" b="889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bidi w:val="0"/>
        <w:ind w:left="0" w:leftChars="0" w:firstLineChars="0"/>
        <w:rPr>
          <w:rFonts w:hint="eastAsia"/>
          <w:lang w:val="en-US" w:eastAsia="zh-CN"/>
        </w:rPr>
      </w:pPr>
      <w:bookmarkStart w:id="35" w:name="_Toc22856"/>
      <w:r>
        <w:rPr>
          <w:rFonts w:hint="eastAsia"/>
          <w:lang w:val="en-US" w:eastAsia="zh-CN"/>
        </w:rPr>
        <w:t>退保</w:t>
      </w:r>
      <w:bookmarkEnd w:id="35"/>
    </w:p>
    <w:p>
      <w:pPr>
        <w:bidi w:val="0"/>
        <w:rPr>
          <w:rFonts w:hint="default" w:cs="Times New Roman"/>
          <w:b/>
          <w:bCs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2"/>
          <w:sz w:val="21"/>
          <w:szCs w:val="24"/>
          <w:lang w:val="en-US" w:eastAsia="zh-CN" w:bidi="ar-SA"/>
        </w:rPr>
        <w:t>一）、正常退保：</w:t>
      </w:r>
    </w:p>
    <w:p>
      <w:pPr>
        <w:bidi w:val="0"/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功能说明</w:t>
      </w: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进行退保申请。</w:t>
      </w:r>
    </w:p>
    <w:p>
      <w:pPr>
        <w:pStyle w:val="2"/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操作步骤：</w:t>
      </w:r>
    </w:p>
    <w:p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在保函发放页面下的申请详情菜单栏，点击退保申请后面的“退保”按钮</w:t>
      </w:r>
      <w:r>
        <w:rPr>
          <w:rFonts w:hint="eastAsia"/>
          <w:lang w:val="en-US" w:eastAsia="zh-CN"/>
        </w:rPr>
        <w:t>，如下图：</w:t>
      </w:r>
    </w:p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206750"/>
            <wp:effectExtent l="0" t="0" r="3175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填写退保原因后，点击下面的“提交退保申请”按钮，如下图：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1877695"/>
            <wp:effectExtent l="0" t="0" r="3810" b="825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非基本户支付退保：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保费缴纳非基本户缴纳如下提示，出现该提示需要申请退保重新用基本户支付，退款流程见“一）正常退保”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270250"/>
            <wp:effectExtent l="0" t="0" r="3810" b="63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3" w:type="default"/>
      <w:pgSz w:w="11906" w:h="16838"/>
      <w:pgMar w:top="1440" w:right="1797" w:bottom="1440" w:left="1797" w:header="680" w:footer="737" w:gutter="0"/>
      <w:pgNumType w:fmt="decimal" w:start="1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wordWrap/>
      <w:spacing w:line="240" w:lineRule="auto"/>
      <w:ind w:firstLine="0" w:firstLineChars="0"/>
      <w:jc w:val="both"/>
      <w:rPr>
        <w:rFonts w:hint="default" w:ascii="Times New Roman" w:hAnsi="Times New Roman"/>
        <w:sz w:val="18"/>
        <w:lang w:val="en-US" w:eastAsia="zh-C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hint="default" w:ascii="Times New Roman" w:hAnsi="Times New Roman"/>
        <w:sz w:val="18"/>
        <w:lang w:val="en-US" w:eastAsia="zh-CN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spacing w:line="240" w:lineRule="auto"/>
      <w:ind w:firstLine="0" w:firstLineChars="0"/>
      <w:jc w:val="right"/>
      <w:rPr>
        <w:rFonts w:hint="default" w:ascii="Times New Roman" w:hAnsi="Times New Roman" w:eastAsia="思源宋体 CN Light"/>
        <w:sz w:val="18"/>
        <w:lang w:val="en-US" w:eastAsia="zh-CN"/>
      </w:rPr>
    </w:pPr>
    <w:r>
      <w:rPr>
        <w:rFonts w:hint="eastAsia"/>
        <w:sz w:val="18"/>
        <w:lang w:val="en-US" w:eastAsia="zh-CN"/>
      </w:rPr>
      <w:t>阳光采购服务平台投标保函操作手册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93711C"/>
    <w:multiLevelType w:val="singleLevel"/>
    <w:tmpl w:val="C693711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6A37C53"/>
    <w:multiLevelType w:val="multilevel"/>
    <w:tmpl w:val="D6A37C5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Times New Roman" w:hAnsi="Times New Roman" w:eastAsia="微软雅黑 Light" w:cs="宋体"/>
        <w:b/>
        <w:sz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21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>
    <w:nsid w:val="E12464C0"/>
    <w:multiLevelType w:val="singleLevel"/>
    <w:tmpl w:val="E12464C0"/>
    <w:lvl w:ilvl="0" w:tentative="0">
      <w:start w:val="2"/>
      <w:numFmt w:val="chineseCounting"/>
      <w:suff w:val="nothing"/>
      <w:lvlText w:val="%1）"/>
      <w:lvlJc w:val="left"/>
      <w:rPr>
        <w:rFonts w:hint="eastAsia"/>
      </w:rPr>
    </w:lvl>
  </w:abstractNum>
  <w:abstractNum w:abstractNumId="3">
    <w:nsid w:val="E559D08C"/>
    <w:multiLevelType w:val="singleLevel"/>
    <w:tmpl w:val="E559D08C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EBEC20B4"/>
    <w:multiLevelType w:val="singleLevel"/>
    <w:tmpl w:val="EBEC20B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F7CBB695"/>
    <w:multiLevelType w:val="singleLevel"/>
    <w:tmpl w:val="F7CBB69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hjOWUyYjE1ZGNjNjhkMzI3YjIyMWMxNjEyMmI2ZjkifQ=="/>
  </w:docVars>
  <w:rsids>
    <w:rsidRoot w:val="001D47A1"/>
    <w:rsid w:val="00070478"/>
    <w:rsid w:val="000A0CD8"/>
    <w:rsid w:val="000C0A90"/>
    <w:rsid w:val="000D2347"/>
    <w:rsid w:val="001032A1"/>
    <w:rsid w:val="00165621"/>
    <w:rsid w:val="001B55C4"/>
    <w:rsid w:val="001D47A1"/>
    <w:rsid w:val="001E58C2"/>
    <w:rsid w:val="00203EF0"/>
    <w:rsid w:val="002851A1"/>
    <w:rsid w:val="0029262E"/>
    <w:rsid w:val="002C215D"/>
    <w:rsid w:val="00384618"/>
    <w:rsid w:val="003A1E1B"/>
    <w:rsid w:val="003A3418"/>
    <w:rsid w:val="003F0446"/>
    <w:rsid w:val="00437A4E"/>
    <w:rsid w:val="004437AE"/>
    <w:rsid w:val="00454CA8"/>
    <w:rsid w:val="00460ACE"/>
    <w:rsid w:val="004D302F"/>
    <w:rsid w:val="0057425F"/>
    <w:rsid w:val="005951E8"/>
    <w:rsid w:val="00624284"/>
    <w:rsid w:val="00670A7A"/>
    <w:rsid w:val="00716380"/>
    <w:rsid w:val="0078599F"/>
    <w:rsid w:val="007D0546"/>
    <w:rsid w:val="00861998"/>
    <w:rsid w:val="008E496E"/>
    <w:rsid w:val="0098291F"/>
    <w:rsid w:val="009A5D6F"/>
    <w:rsid w:val="00A00014"/>
    <w:rsid w:val="00A0153D"/>
    <w:rsid w:val="00A60912"/>
    <w:rsid w:val="00A60E83"/>
    <w:rsid w:val="00AB26E2"/>
    <w:rsid w:val="00AB79E2"/>
    <w:rsid w:val="00AF2096"/>
    <w:rsid w:val="00B35B52"/>
    <w:rsid w:val="00C5002E"/>
    <w:rsid w:val="00CC352E"/>
    <w:rsid w:val="00CC623B"/>
    <w:rsid w:val="00D37FBC"/>
    <w:rsid w:val="00D64523"/>
    <w:rsid w:val="00DC4A3F"/>
    <w:rsid w:val="00DD6B35"/>
    <w:rsid w:val="00E9770B"/>
    <w:rsid w:val="00F05135"/>
    <w:rsid w:val="00F06C55"/>
    <w:rsid w:val="00F244C1"/>
    <w:rsid w:val="00F51C44"/>
    <w:rsid w:val="00F8392C"/>
    <w:rsid w:val="00F934ED"/>
    <w:rsid w:val="00FE0136"/>
    <w:rsid w:val="01234FA2"/>
    <w:rsid w:val="014A2DD9"/>
    <w:rsid w:val="019B14DA"/>
    <w:rsid w:val="01C66C73"/>
    <w:rsid w:val="0217353A"/>
    <w:rsid w:val="02776CE3"/>
    <w:rsid w:val="02CA31F8"/>
    <w:rsid w:val="0336760E"/>
    <w:rsid w:val="035102A9"/>
    <w:rsid w:val="03610E7A"/>
    <w:rsid w:val="036266F7"/>
    <w:rsid w:val="03FF36AD"/>
    <w:rsid w:val="041D5AEC"/>
    <w:rsid w:val="046B4F88"/>
    <w:rsid w:val="046F2081"/>
    <w:rsid w:val="05223B55"/>
    <w:rsid w:val="05606153"/>
    <w:rsid w:val="056E1AED"/>
    <w:rsid w:val="05B86355"/>
    <w:rsid w:val="062715DD"/>
    <w:rsid w:val="06382A34"/>
    <w:rsid w:val="068E2F6E"/>
    <w:rsid w:val="06A65800"/>
    <w:rsid w:val="06F90373"/>
    <w:rsid w:val="07B25156"/>
    <w:rsid w:val="07D23A36"/>
    <w:rsid w:val="07EA7189"/>
    <w:rsid w:val="07F74E09"/>
    <w:rsid w:val="080E2693"/>
    <w:rsid w:val="082574F4"/>
    <w:rsid w:val="08351D86"/>
    <w:rsid w:val="08CE2C09"/>
    <w:rsid w:val="095A70CB"/>
    <w:rsid w:val="096D38BF"/>
    <w:rsid w:val="099832C5"/>
    <w:rsid w:val="09A2305B"/>
    <w:rsid w:val="09E869F3"/>
    <w:rsid w:val="09F26927"/>
    <w:rsid w:val="0A026859"/>
    <w:rsid w:val="0A0330CE"/>
    <w:rsid w:val="0A822A1F"/>
    <w:rsid w:val="0AAE3C98"/>
    <w:rsid w:val="0B2F3DAE"/>
    <w:rsid w:val="0B3F1D02"/>
    <w:rsid w:val="0B49732E"/>
    <w:rsid w:val="0B65128B"/>
    <w:rsid w:val="0B7B1635"/>
    <w:rsid w:val="0C052C56"/>
    <w:rsid w:val="0C0D67D1"/>
    <w:rsid w:val="0C43205E"/>
    <w:rsid w:val="0C6D104E"/>
    <w:rsid w:val="0CBC44D7"/>
    <w:rsid w:val="0CEA6D84"/>
    <w:rsid w:val="0D1637A7"/>
    <w:rsid w:val="0D79342D"/>
    <w:rsid w:val="0E3F33FA"/>
    <w:rsid w:val="0E544AB7"/>
    <w:rsid w:val="0E816F42"/>
    <w:rsid w:val="0F556CD0"/>
    <w:rsid w:val="0F5B6CBB"/>
    <w:rsid w:val="0F6A6825"/>
    <w:rsid w:val="0FEB21AC"/>
    <w:rsid w:val="100D0B75"/>
    <w:rsid w:val="101D05B4"/>
    <w:rsid w:val="10AD2DF3"/>
    <w:rsid w:val="10FD7EEB"/>
    <w:rsid w:val="11023A9D"/>
    <w:rsid w:val="113B4736"/>
    <w:rsid w:val="11657573"/>
    <w:rsid w:val="12367275"/>
    <w:rsid w:val="12807C2E"/>
    <w:rsid w:val="128D640F"/>
    <w:rsid w:val="12D56EFF"/>
    <w:rsid w:val="12FF1D59"/>
    <w:rsid w:val="132042E2"/>
    <w:rsid w:val="135A6265"/>
    <w:rsid w:val="137064AC"/>
    <w:rsid w:val="13B74C2B"/>
    <w:rsid w:val="13BB0498"/>
    <w:rsid w:val="13D62095"/>
    <w:rsid w:val="13DB0FF3"/>
    <w:rsid w:val="13EF5B21"/>
    <w:rsid w:val="143E34F2"/>
    <w:rsid w:val="144240D3"/>
    <w:rsid w:val="14551415"/>
    <w:rsid w:val="14813BA0"/>
    <w:rsid w:val="14941B78"/>
    <w:rsid w:val="14C1683B"/>
    <w:rsid w:val="14C3439C"/>
    <w:rsid w:val="14F5170A"/>
    <w:rsid w:val="15520564"/>
    <w:rsid w:val="158B6011"/>
    <w:rsid w:val="15F24B6B"/>
    <w:rsid w:val="15FB4849"/>
    <w:rsid w:val="1621375B"/>
    <w:rsid w:val="16676734"/>
    <w:rsid w:val="16D05CBB"/>
    <w:rsid w:val="17143789"/>
    <w:rsid w:val="172E5AA0"/>
    <w:rsid w:val="17A410EE"/>
    <w:rsid w:val="17DA0476"/>
    <w:rsid w:val="17F47078"/>
    <w:rsid w:val="190423D0"/>
    <w:rsid w:val="192500AB"/>
    <w:rsid w:val="196F0A79"/>
    <w:rsid w:val="199B4AE5"/>
    <w:rsid w:val="19DD64F8"/>
    <w:rsid w:val="19F319C1"/>
    <w:rsid w:val="1A275F57"/>
    <w:rsid w:val="1A6D3439"/>
    <w:rsid w:val="1AD61F69"/>
    <w:rsid w:val="1AFF2500"/>
    <w:rsid w:val="1B2250C2"/>
    <w:rsid w:val="1B301DA5"/>
    <w:rsid w:val="1B371DA8"/>
    <w:rsid w:val="1B660B1A"/>
    <w:rsid w:val="1B8C0B60"/>
    <w:rsid w:val="1B9D1B3E"/>
    <w:rsid w:val="1BAA1245"/>
    <w:rsid w:val="1BC12154"/>
    <w:rsid w:val="1BCE0555"/>
    <w:rsid w:val="1C067B59"/>
    <w:rsid w:val="1C0C78FE"/>
    <w:rsid w:val="1C0F3933"/>
    <w:rsid w:val="1C4E5742"/>
    <w:rsid w:val="1C866E9C"/>
    <w:rsid w:val="1CDD02E5"/>
    <w:rsid w:val="1CEC667F"/>
    <w:rsid w:val="1D325D68"/>
    <w:rsid w:val="1DAB703A"/>
    <w:rsid w:val="1DB1420A"/>
    <w:rsid w:val="1DCB7276"/>
    <w:rsid w:val="1DE10257"/>
    <w:rsid w:val="1DE81131"/>
    <w:rsid w:val="1E266437"/>
    <w:rsid w:val="1F513DE3"/>
    <w:rsid w:val="1FB43DE7"/>
    <w:rsid w:val="209835ED"/>
    <w:rsid w:val="20B40647"/>
    <w:rsid w:val="20BE59EF"/>
    <w:rsid w:val="212913B6"/>
    <w:rsid w:val="213F7969"/>
    <w:rsid w:val="21904AC9"/>
    <w:rsid w:val="21B02765"/>
    <w:rsid w:val="21B61D78"/>
    <w:rsid w:val="21ED7F9B"/>
    <w:rsid w:val="22B97B62"/>
    <w:rsid w:val="22C643B4"/>
    <w:rsid w:val="22CC3B62"/>
    <w:rsid w:val="22FA4707"/>
    <w:rsid w:val="230D4ACE"/>
    <w:rsid w:val="233421E3"/>
    <w:rsid w:val="233B5E30"/>
    <w:rsid w:val="23423E00"/>
    <w:rsid w:val="23E53B09"/>
    <w:rsid w:val="24331B6B"/>
    <w:rsid w:val="24B31C89"/>
    <w:rsid w:val="25004E56"/>
    <w:rsid w:val="25491D80"/>
    <w:rsid w:val="257A54CD"/>
    <w:rsid w:val="25AA130C"/>
    <w:rsid w:val="263927CF"/>
    <w:rsid w:val="26583170"/>
    <w:rsid w:val="266C03AF"/>
    <w:rsid w:val="26CD0F49"/>
    <w:rsid w:val="26D91380"/>
    <w:rsid w:val="2714543F"/>
    <w:rsid w:val="27674AAB"/>
    <w:rsid w:val="27AC0A3D"/>
    <w:rsid w:val="27AF61AB"/>
    <w:rsid w:val="27C6754A"/>
    <w:rsid w:val="27E43287"/>
    <w:rsid w:val="29141158"/>
    <w:rsid w:val="29232DF0"/>
    <w:rsid w:val="294D4496"/>
    <w:rsid w:val="29D136F6"/>
    <w:rsid w:val="29F51563"/>
    <w:rsid w:val="2A1F1A33"/>
    <w:rsid w:val="2A2D5DBD"/>
    <w:rsid w:val="2A3156A5"/>
    <w:rsid w:val="2A673421"/>
    <w:rsid w:val="2A6B4E8D"/>
    <w:rsid w:val="2A950AF7"/>
    <w:rsid w:val="2AA07A66"/>
    <w:rsid w:val="2ACA7549"/>
    <w:rsid w:val="2B1F03DA"/>
    <w:rsid w:val="2B3D7BBD"/>
    <w:rsid w:val="2BFF3CE1"/>
    <w:rsid w:val="2C024719"/>
    <w:rsid w:val="2C0D1609"/>
    <w:rsid w:val="2C645B59"/>
    <w:rsid w:val="2C683230"/>
    <w:rsid w:val="2D030EDE"/>
    <w:rsid w:val="2D41077E"/>
    <w:rsid w:val="2D687F33"/>
    <w:rsid w:val="2D95568E"/>
    <w:rsid w:val="2D9E58E9"/>
    <w:rsid w:val="2DC96AD9"/>
    <w:rsid w:val="2E1C440C"/>
    <w:rsid w:val="2E2C50E4"/>
    <w:rsid w:val="2E392CAA"/>
    <w:rsid w:val="2E504533"/>
    <w:rsid w:val="2E5E2491"/>
    <w:rsid w:val="2E8D58DA"/>
    <w:rsid w:val="2EC76378"/>
    <w:rsid w:val="2F0B474F"/>
    <w:rsid w:val="2F123539"/>
    <w:rsid w:val="2F8510F1"/>
    <w:rsid w:val="2F971630"/>
    <w:rsid w:val="2FC62485"/>
    <w:rsid w:val="2FDE3224"/>
    <w:rsid w:val="301B72F6"/>
    <w:rsid w:val="302926C9"/>
    <w:rsid w:val="30544CD1"/>
    <w:rsid w:val="30BF286A"/>
    <w:rsid w:val="30D1272F"/>
    <w:rsid w:val="313E22AF"/>
    <w:rsid w:val="315671B6"/>
    <w:rsid w:val="31BA2A4B"/>
    <w:rsid w:val="31DA609B"/>
    <w:rsid w:val="32183062"/>
    <w:rsid w:val="32460E96"/>
    <w:rsid w:val="3258623F"/>
    <w:rsid w:val="3261127C"/>
    <w:rsid w:val="32712264"/>
    <w:rsid w:val="32A47765"/>
    <w:rsid w:val="32AB340D"/>
    <w:rsid w:val="32C05570"/>
    <w:rsid w:val="32DF0DBA"/>
    <w:rsid w:val="32E346BF"/>
    <w:rsid w:val="330B4C5D"/>
    <w:rsid w:val="331F3604"/>
    <w:rsid w:val="339D53CE"/>
    <w:rsid w:val="34B83FE7"/>
    <w:rsid w:val="34D01DFE"/>
    <w:rsid w:val="35753CCB"/>
    <w:rsid w:val="35C21863"/>
    <w:rsid w:val="35D960CB"/>
    <w:rsid w:val="363C2D71"/>
    <w:rsid w:val="36B85B9B"/>
    <w:rsid w:val="36D82E65"/>
    <w:rsid w:val="36FC07B2"/>
    <w:rsid w:val="3704092D"/>
    <w:rsid w:val="373057DF"/>
    <w:rsid w:val="37D63C0B"/>
    <w:rsid w:val="37E2462C"/>
    <w:rsid w:val="38207193"/>
    <w:rsid w:val="382D2753"/>
    <w:rsid w:val="383E1227"/>
    <w:rsid w:val="386E3E28"/>
    <w:rsid w:val="38864338"/>
    <w:rsid w:val="389D15FF"/>
    <w:rsid w:val="38C15358"/>
    <w:rsid w:val="38E820A7"/>
    <w:rsid w:val="38F370E1"/>
    <w:rsid w:val="39140ACE"/>
    <w:rsid w:val="398D64DA"/>
    <w:rsid w:val="399B7668"/>
    <w:rsid w:val="39AC48C7"/>
    <w:rsid w:val="39DE513A"/>
    <w:rsid w:val="3ACC7331"/>
    <w:rsid w:val="3B1C3BC3"/>
    <w:rsid w:val="3B31090C"/>
    <w:rsid w:val="3BA060E8"/>
    <w:rsid w:val="3C047EF6"/>
    <w:rsid w:val="3C090159"/>
    <w:rsid w:val="3C491076"/>
    <w:rsid w:val="3C5E67DE"/>
    <w:rsid w:val="3CCE416F"/>
    <w:rsid w:val="3CD532D9"/>
    <w:rsid w:val="3CEE641C"/>
    <w:rsid w:val="3DC257F4"/>
    <w:rsid w:val="3DD325FD"/>
    <w:rsid w:val="3E36211E"/>
    <w:rsid w:val="3E3E1739"/>
    <w:rsid w:val="3E9C7C4C"/>
    <w:rsid w:val="3EAA4013"/>
    <w:rsid w:val="3EE36345"/>
    <w:rsid w:val="3F041A1C"/>
    <w:rsid w:val="3F5B281F"/>
    <w:rsid w:val="3F861A73"/>
    <w:rsid w:val="3F94562E"/>
    <w:rsid w:val="3FC87068"/>
    <w:rsid w:val="3FD569A4"/>
    <w:rsid w:val="3FF65866"/>
    <w:rsid w:val="40715247"/>
    <w:rsid w:val="40AE1D79"/>
    <w:rsid w:val="412C11FB"/>
    <w:rsid w:val="41421AF7"/>
    <w:rsid w:val="415C6F7C"/>
    <w:rsid w:val="422A6912"/>
    <w:rsid w:val="429937DB"/>
    <w:rsid w:val="42FE4357"/>
    <w:rsid w:val="42FE464E"/>
    <w:rsid w:val="43333C76"/>
    <w:rsid w:val="433B75D3"/>
    <w:rsid w:val="434D7A62"/>
    <w:rsid w:val="43591BE7"/>
    <w:rsid w:val="435F1218"/>
    <w:rsid w:val="439C23C0"/>
    <w:rsid w:val="44186EBC"/>
    <w:rsid w:val="44503B4D"/>
    <w:rsid w:val="44790767"/>
    <w:rsid w:val="44961DB9"/>
    <w:rsid w:val="44CC35F4"/>
    <w:rsid w:val="45BD5E50"/>
    <w:rsid w:val="45EE003D"/>
    <w:rsid w:val="460249B5"/>
    <w:rsid w:val="46272A1F"/>
    <w:rsid w:val="464056DE"/>
    <w:rsid w:val="46982CA0"/>
    <w:rsid w:val="46C115B5"/>
    <w:rsid w:val="4700463F"/>
    <w:rsid w:val="47042F70"/>
    <w:rsid w:val="473D7756"/>
    <w:rsid w:val="473F59F6"/>
    <w:rsid w:val="47912CDE"/>
    <w:rsid w:val="47994B18"/>
    <w:rsid w:val="47B43697"/>
    <w:rsid w:val="47B800A0"/>
    <w:rsid w:val="480A06F3"/>
    <w:rsid w:val="487C58BB"/>
    <w:rsid w:val="48823EB1"/>
    <w:rsid w:val="48B239D7"/>
    <w:rsid w:val="48BC1BC5"/>
    <w:rsid w:val="494E3E01"/>
    <w:rsid w:val="49777751"/>
    <w:rsid w:val="49A04FBB"/>
    <w:rsid w:val="49DA50A0"/>
    <w:rsid w:val="49DD7880"/>
    <w:rsid w:val="4A002898"/>
    <w:rsid w:val="4A5B4585"/>
    <w:rsid w:val="4A8E6AA3"/>
    <w:rsid w:val="4AD427B1"/>
    <w:rsid w:val="4AF63B1B"/>
    <w:rsid w:val="4B4E000B"/>
    <w:rsid w:val="4B9219A4"/>
    <w:rsid w:val="4B941547"/>
    <w:rsid w:val="4BE833C4"/>
    <w:rsid w:val="4C113459"/>
    <w:rsid w:val="4C2749B6"/>
    <w:rsid w:val="4C534D73"/>
    <w:rsid w:val="4C9322A2"/>
    <w:rsid w:val="4CCA1178"/>
    <w:rsid w:val="4CE237A9"/>
    <w:rsid w:val="4CE85E08"/>
    <w:rsid w:val="4CF16FBF"/>
    <w:rsid w:val="4CF66875"/>
    <w:rsid w:val="4CFA168C"/>
    <w:rsid w:val="4D0573A2"/>
    <w:rsid w:val="4D2D394E"/>
    <w:rsid w:val="4D8A3599"/>
    <w:rsid w:val="4EBC217E"/>
    <w:rsid w:val="4EBF322B"/>
    <w:rsid w:val="4ED50883"/>
    <w:rsid w:val="4EF43AEA"/>
    <w:rsid w:val="4F0E3727"/>
    <w:rsid w:val="50030556"/>
    <w:rsid w:val="5008758F"/>
    <w:rsid w:val="50606065"/>
    <w:rsid w:val="50EB498A"/>
    <w:rsid w:val="50F10951"/>
    <w:rsid w:val="513C03F7"/>
    <w:rsid w:val="51453C2F"/>
    <w:rsid w:val="51461BED"/>
    <w:rsid w:val="515151DC"/>
    <w:rsid w:val="5152517D"/>
    <w:rsid w:val="515E425A"/>
    <w:rsid w:val="51C74473"/>
    <w:rsid w:val="526750C7"/>
    <w:rsid w:val="529D1F83"/>
    <w:rsid w:val="52FB2E29"/>
    <w:rsid w:val="531A2BE5"/>
    <w:rsid w:val="538C532C"/>
    <w:rsid w:val="53C81FB3"/>
    <w:rsid w:val="53DF178B"/>
    <w:rsid w:val="54C5090E"/>
    <w:rsid w:val="54E034A9"/>
    <w:rsid w:val="54EA43DF"/>
    <w:rsid w:val="55596642"/>
    <w:rsid w:val="55CB258C"/>
    <w:rsid w:val="5670396D"/>
    <w:rsid w:val="57203BD4"/>
    <w:rsid w:val="574F23DF"/>
    <w:rsid w:val="57540887"/>
    <w:rsid w:val="57556651"/>
    <w:rsid w:val="57684BE6"/>
    <w:rsid w:val="57793E53"/>
    <w:rsid w:val="57816111"/>
    <w:rsid w:val="57907B36"/>
    <w:rsid w:val="57D411E0"/>
    <w:rsid w:val="57E44562"/>
    <w:rsid w:val="580E1CFE"/>
    <w:rsid w:val="582575F2"/>
    <w:rsid w:val="58365A10"/>
    <w:rsid w:val="58DF21D4"/>
    <w:rsid w:val="58F86B18"/>
    <w:rsid w:val="5918091C"/>
    <w:rsid w:val="591D3BB8"/>
    <w:rsid w:val="59771E3D"/>
    <w:rsid w:val="59EB7066"/>
    <w:rsid w:val="5A276A0F"/>
    <w:rsid w:val="5A350E61"/>
    <w:rsid w:val="5A4C294A"/>
    <w:rsid w:val="5ADF17FA"/>
    <w:rsid w:val="5AF86B50"/>
    <w:rsid w:val="5B474A7B"/>
    <w:rsid w:val="5B701F6D"/>
    <w:rsid w:val="5C4A7C2E"/>
    <w:rsid w:val="5C6F4F4F"/>
    <w:rsid w:val="5C771A0D"/>
    <w:rsid w:val="5CD73231"/>
    <w:rsid w:val="5D0A239A"/>
    <w:rsid w:val="5DB6564B"/>
    <w:rsid w:val="5E191B29"/>
    <w:rsid w:val="5E314733"/>
    <w:rsid w:val="5E4612F1"/>
    <w:rsid w:val="5E6E467A"/>
    <w:rsid w:val="5F2C1650"/>
    <w:rsid w:val="5F2D7A30"/>
    <w:rsid w:val="5F4130B8"/>
    <w:rsid w:val="5F775A6D"/>
    <w:rsid w:val="5F7D340C"/>
    <w:rsid w:val="5FBC5A09"/>
    <w:rsid w:val="5FC36960"/>
    <w:rsid w:val="5FD711F2"/>
    <w:rsid w:val="6014227F"/>
    <w:rsid w:val="604870E5"/>
    <w:rsid w:val="60585BA4"/>
    <w:rsid w:val="60C54C59"/>
    <w:rsid w:val="60D208DF"/>
    <w:rsid w:val="61367191"/>
    <w:rsid w:val="613949F4"/>
    <w:rsid w:val="618056ED"/>
    <w:rsid w:val="626205B2"/>
    <w:rsid w:val="63320005"/>
    <w:rsid w:val="637C0089"/>
    <w:rsid w:val="63D2023D"/>
    <w:rsid w:val="641A5E5E"/>
    <w:rsid w:val="641A5F6F"/>
    <w:rsid w:val="646E283B"/>
    <w:rsid w:val="64A91A47"/>
    <w:rsid w:val="64E362C2"/>
    <w:rsid w:val="65051BC0"/>
    <w:rsid w:val="6528785E"/>
    <w:rsid w:val="657C778C"/>
    <w:rsid w:val="658927A5"/>
    <w:rsid w:val="65931E6A"/>
    <w:rsid w:val="65F00A05"/>
    <w:rsid w:val="660A31A3"/>
    <w:rsid w:val="66237CDF"/>
    <w:rsid w:val="668D1EAD"/>
    <w:rsid w:val="66B21D03"/>
    <w:rsid w:val="66C66EBF"/>
    <w:rsid w:val="66CA4486"/>
    <w:rsid w:val="671A07A6"/>
    <w:rsid w:val="67394D3D"/>
    <w:rsid w:val="67587747"/>
    <w:rsid w:val="679974B3"/>
    <w:rsid w:val="67E0317C"/>
    <w:rsid w:val="6830018C"/>
    <w:rsid w:val="68496C3D"/>
    <w:rsid w:val="68586660"/>
    <w:rsid w:val="687F51D8"/>
    <w:rsid w:val="696929B1"/>
    <w:rsid w:val="6979237F"/>
    <w:rsid w:val="69901D8D"/>
    <w:rsid w:val="69B57B91"/>
    <w:rsid w:val="69DD0BB7"/>
    <w:rsid w:val="6A8272A0"/>
    <w:rsid w:val="6B1F7304"/>
    <w:rsid w:val="6B3958F8"/>
    <w:rsid w:val="6BB01935"/>
    <w:rsid w:val="6BB7162D"/>
    <w:rsid w:val="6BDB744E"/>
    <w:rsid w:val="6BFF56E6"/>
    <w:rsid w:val="6C442812"/>
    <w:rsid w:val="6C4D5884"/>
    <w:rsid w:val="6C5242AD"/>
    <w:rsid w:val="6CFD6301"/>
    <w:rsid w:val="6D0B3137"/>
    <w:rsid w:val="6E187B1D"/>
    <w:rsid w:val="6E557678"/>
    <w:rsid w:val="6EB42D11"/>
    <w:rsid w:val="6EC120B0"/>
    <w:rsid w:val="6ED150C6"/>
    <w:rsid w:val="6EE07376"/>
    <w:rsid w:val="6EF84EC7"/>
    <w:rsid w:val="6F5A613F"/>
    <w:rsid w:val="6F883019"/>
    <w:rsid w:val="6FA42945"/>
    <w:rsid w:val="6FD7537A"/>
    <w:rsid w:val="70110709"/>
    <w:rsid w:val="701518C7"/>
    <w:rsid w:val="701B44F1"/>
    <w:rsid w:val="704D6FD3"/>
    <w:rsid w:val="708E6408"/>
    <w:rsid w:val="70DF5A31"/>
    <w:rsid w:val="70ED018E"/>
    <w:rsid w:val="70FF3B97"/>
    <w:rsid w:val="71572056"/>
    <w:rsid w:val="717752F4"/>
    <w:rsid w:val="718166AD"/>
    <w:rsid w:val="71BA1F61"/>
    <w:rsid w:val="71DD04F6"/>
    <w:rsid w:val="71F9646F"/>
    <w:rsid w:val="71FC5D75"/>
    <w:rsid w:val="71FD35E8"/>
    <w:rsid w:val="72133759"/>
    <w:rsid w:val="72366D03"/>
    <w:rsid w:val="725554A1"/>
    <w:rsid w:val="72D72856"/>
    <w:rsid w:val="734C5AE0"/>
    <w:rsid w:val="738741D6"/>
    <w:rsid w:val="73BC1844"/>
    <w:rsid w:val="74103305"/>
    <w:rsid w:val="74382D6C"/>
    <w:rsid w:val="74DB7694"/>
    <w:rsid w:val="750824AA"/>
    <w:rsid w:val="75177560"/>
    <w:rsid w:val="7584461A"/>
    <w:rsid w:val="75EC58A6"/>
    <w:rsid w:val="760A0324"/>
    <w:rsid w:val="767A1C01"/>
    <w:rsid w:val="76DC7164"/>
    <w:rsid w:val="777D7467"/>
    <w:rsid w:val="777E78D7"/>
    <w:rsid w:val="77EC2B6D"/>
    <w:rsid w:val="77FD4709"/>
    <w:rsid w:val="78527701"/>
    <w:rsid w:val="78615CFA"/>
    <w:rsid w:val="78617380"/>
    <w:rsid w:val="78935A08"/>
    <w:rsid w:val="78B80B4F"/>
    <w:rsid w:val="79184FFC"/>
    <w:rsid w:val="7961229D"/>
    <w:rsid w:val="7970708F"/>
    <w:rsid w:val="79941265"/>
    <w:rsid w:val="79C36394"/>
    <w:rsid w:val="7A197CF7"/>
    <w:rsid w:val="7A1B7F50"/>
    <w:rsid w:val="7A3515FB"/>
    <w:rsid w:val="7A4D7A4C"/>
    <w:rsid w:val="7A822B50"/>
    <w:rsid w:val="7AB51178"/>
    <w:rsid w:val="7AF10309"/>
    <w:rsid w:val="7B6C5E6F"/>
    <w:rsid w:val="7B7B222D"/>
    <w:rsid w:val="7BAB0063"/>
    <w:rsid w:val="7C3133CB"/>
    <w:rsid w:val="7C956D0F"/>
    <w:rsid w:val="7CC838B9"/>
    <w:rsid w:val="7CEF1EF8"/>
    <w:rsid w:val="7D1A0A23"/>
    <w:rsid w:val="7D245C6D"/>
    <w:rsid w:val="7D2A172F"/>
    <w:rsid w:val="7D906BA0"/>
    <w:rsid w:val="7DB51F19"/>
    <w:rsid w:val="7DF33C9C"/>
    <w:rsid w:val="7DF95E23"/>
    <w:rsid w:val="7E25121D"/>
    <w:rsid w:val="7E3570AD"/>
    <w:rsid w:val="7E5455D0"/>
    <w:rsid w:val="7EB117B7"/>
    <w:rsid w:val="7EB87930"/>
    <w:rsid w:val="7EE2050E"/>
    <w:rsid w:val="7EE25AB5"/>
    <w:rsid w:val="7F7867D6"/>
    <w:rsid w:val="7FA1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31"/>
    <w:qFormat/>
    <w:uiPriority w:val="0"/>
    <w:pPr>
      <w:keepNext w:val="0"/>
      <w:keepLines w:val="0"/>
      <w:numPr>
        <w:ilvl w:val="0"/>
        <w:numId w:val="1"/>
      </w:numPr>
      <w:tabs>
        <w:tab w:val="left" w:pos="425"/>
        <w:tab w:val="clear" w:pos="0"/>
      </w:tabs>
      <w:spacing w:before="120" w:after="120"/>
      <w:ind w:left="0" w:firstLine="0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32"/>
    <w:qFormat/>
    <w:uiPriority w:val="0"/>
    <w:pPr>
      <w:keepNext w:val="0"/>
      <w:keepLines w:val="0"/>
      <w:numPr>
        <w:ilvl w:val="1"/>
        <w:numId w:val="1"/>
      </w:numPr>
      <w:tabs>
        <w:tab w:val="left" w:pos="567"/>
        <w:tab w:val="clear" w:pos="0"/>
      </w:tabs>
      <w:spacing w:before="120" w:after="120"/>
      <w:ind w:left="0" w:firstLine="0"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35"/>
    <w:qFormat/>
    <w:uiPriority w:val="0"/>
    <w:pPr>
      <w:keepNext w:val="0"/>
      <w:keepLines w:val="0"/>
      <w:numPr>
        <w:ilvl w:val="2"/>
        <w:numId w:val="1"/>
      </w:numPr>
      <w:tabs>
        <w:tab w:val="left" w:pos="567"/>
        <w:tab w:val="clear" w:pos="0"/>
      </w:tabs>
      <w:spacing w:before="120" w:after="120"/>
      <w:ind w:left="0" w:firstLine="0"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36"/>
    <w:qFormat/>
    <w:uiPriority w:val="0"/>
    <w:pPr>
      <w:keepNext/>
      <w:keepLines/>
      <w:numPr>
        <w:ilvl w:val="3"/>
        <w:numId w:val="1"/>
      </w:numPr>
      <w:tabs>
        <w:tab w:val="left" w:pos="504"/>
        <w:tab w:val="clear" w:pos="420"/>
      </w:tabs>
      <w:spacing w:before="120" w:after="120"/>
      <w:ind w:left="0"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37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left="0"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12">
    <w:name w:val="annotation text"/>
    <w:basedOn w:val="1"/>
    <w:semiHidden/>
    <w:unhideWhenUsed/>
    <w:qFormat/>
    <w:uiPriority w:val="99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spacing w:line="240" w:lineRule="auto"/>
      <w:ind w:left="0" w:leftChars="0" w:firstLine="840" w:firstLineChars="400"/>
    </w:pPr>
  </w:style>
  <w:style w:type="paragraph" w:styleId="14">
    <w:name w:val="Balloon Text"/>
    <w:basedOn w:val="1"/>
    <w:link w:val="42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spacing w:line="240" w:lineRule="auto"/>
      <w:ind w:firstLine="0" w:firstLineChars="0"/>
    </w:pPr>
  </w:style>
  <w:style w:type="paragraph" w:styleId="18">
    <w:name w:val="toc 2"/>
    <w:basedOn w:val="1"/>
    <w:next w:val="1"/>
    <w:unhideWhenUsed/>
    <w:qFormat/>
    <w:uiPriority w:val="39"/>
    <w:pPr>
      <w:spacing w:line="240" w:lineRule="auto"/>
      <w:ind w:left="0" w:leftChars="0"/>
    </w:pPr>
  </w:style>
  <w:style w:type="paragraph" w:styleId="19">
    <w:name w:val="Title"/>
    <w:basedOn w:val="1"/>
    <w:next w:val="1"/>
    <w:qFormat/>
    <w:uiPriority w:val="10"/>
    <w:pPr>
      <w:ind w:firstLine="0" w:firstLineChars="0"/>
      <w:jc w:val="center"/>
    </w:pPr>
    <w:rPr>
      <w:rFonts w:cstheme="majorBidi"/>
      <w:b/>
      <w:bCs/>
      <w:spacing w:val="200"/>
      <w:sz w:val="32"/>
      <w:szCs w:val="32"/>
    </w:rPr>
  </w:style>
  <w:style w:type="table" w:styleId="21">
    <w:name w:val="Table Grid"/>
    <w:basedOn w:val="20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Strong"/>
    <w:basedOn w:val="22"/>
    <w:qFormat/>
    <w:uiPriority w:val="22"/>
    <w:rPr>
      <w:b/>
    </w:rPr>
  </w:style>
  <w:style w:type="character" w:styleId="24">
    <w:name w:val="FollowedHyperlink"/>
    <w:basedOn w:val="22"/>
    <w:semiHidden/>
    <w:unhideWhenUsed/>
    <w:qFormat/>
    <w:uiPriority w:val="99"/>
    <w:rPr>
      <w:color w:val="428BCA"/>
      <w:u w:val="none"/>
    </w:rPr>
  </w:style>
  <w:style w:type="character" w:styleId="25">
    <w:name w:val="HTML Definition"/>
    <w:basedOn w:val="22"/>
    <w:semiHidden/>
    <w:unhideWhenUsed/>
    <w:qFormat/>
    <w:uiPriority w:val="99"/>
    <w:rPr>
      <w:i/>
    </w:rPr>
  </w:style>
  <w:style w:type="character" w:styleId="26">
    <w:name w:val="Hyperlink"/>
    <w:basedOn w:val="22"/>
    <w:unhideWhenUsed/>
    <w:qFormat/>
    <w:uiPriority w:val="99"/>
    <w:rPr>
      <w:rFonts w:ascii="Times New Roman" w:hAnsi="Times New Roman" w:eastAsia="思源宋体 CN Light"/>
      <w:color w:val="auto"/>
      <w:sz w:val="21"/>
      <w:u w:val="single"/>
    </w:rPr>
  </w:style>
  <w:style w:type="character" w:styleId="27">
    <w:name w:val="HTML Code"/>
    <w:basedOn w:val="22"/>
    <w:semiHidden/>
    <w:unhideWhenUsed/>
    <w:qFormat/>
    <w:uiPriority w:val="99"/>
    <w:rPr>
      <w:rFonts w:ascii="Consolas" w:hAnsi="Consolas" w:eastAsia="Consolas" w:cs="Consolas"/>
      <w:color w:val="C7254E"/>
      <w:sz w:val="21"/>
      <w:szCs w:val="21"/>
      <w:shd w:val="clear" w:fill="F9F2F4"/>
    </w:rPr>
  </w:style>
  <w:style w:type="character" w:styleId="28">
    <w:name w:val="HTML Cite"/>
    <w:basedOn w:val="22"/>
    <w:semiHidden/>
    <w:unhideWhenUsed/>
    <w:qFormat/>
    <w:uiPriority w:val="99"/>
  </w:style>
  <w:style w:type="character" w:styleId="29">
    <w:name w:val="HTML Keyboard"/>
    <w:basedOn w:val="22"/>
    <w:semiHidden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styleId="30">
    <w:name w:val="HTML Sample"/>
    <w:basedOn w:val="22"/>
    <w:semiHidden/>
    <w:unhideWhenUsed/>
    <w:qFormat/>
    <w:uiPriority w:val="99"/>
    <w:rPr>
      <w:rFonts w:ascii="serif" w:hAnsi="serif" w:eastAsia="serif" w:cs="serif"/>
      <w:sz w:val="21"/>
      <w:szCs w:val="21"/>
    </w:rPr>
  </w:style>
  <w:style w:type="character" w:customStyle="1" w:styleId="31">
    <w:name w:val="标题 1 Char"/>
    <w:basedOn w:val="22"/>
    <w:link w:val="3"/>
    <w:qFormat/>
    <w:uiPriority w:val="0"/>
    <w:rPr>
      <w:rFonts w:ascii="Times New Roman" w:hAnsi="Times New Roman" w:eastAsia="思源宋体 CN Light" w:cs="Times New Roman"/>
      <w:b/>
      <w:bCs/>
      <w:kern w:val="44"/>
      <w:sz w:val="32"/>
      <w:szCs w:val="28"/>
    </w:rPr>
  </w:style>
  <w:style w:type="character" w:customStyle="1" w:styleId="32">
    <w:name w:val="标题 2 Char"/>
    <w:basedOn w:val="22"/>
    <w:link w:val="4"/>
    <w:qFormat/>
    <w:uiPriority w:val="0"/>
    <w:rPr>
      <w:rFonts w:ascii="Times New Roman" w:hAnsi="Times New Roman" w:eastAsia="思源宋体 CN Light" w:cs="Times New Roman"/>
      <w:b/>
      <w:bCs/>
      <w:sz w:val="30"/>
      <w:szCs w:val="32"/>
    </w:rPr>
  </w:style>
  <w:style w:type="character" w:customStyle="1" w:styleId="33">
    <w:name w:val="页眉 Char"/>
    <w:basedOn w:val="22"/>
    <w:link w:val="16"/>
    <w:qFormat/>
    <w:uiPriority w:val="99"/>
    <w:rPr>
      <w:sz w:val="18"/>
      <w:szCs w:val="18"/>
    </w:rPr>
  </w:style>
  <w:style w:type="character" w:customStyle="1" w:styleId="34">
    <w:name w:val="页脚 Char"/>
    <w:basedOn w:val="22"/>
    <w:link w:val="15"/>
    <w:qFormat/>
    <w:uiPriority w:val="99"/>
    <w:rPr>
      <w:sz w:val="18"/>
      <w:szCs w:val="18"/>
    </w:rPr>
  </w:style>
  <w:style w:type="character" w:customStyle="1" w:styleId="35">
    <w:name w:val="标题 3 Char"/>
    <w:basedOn w:val="22"/>
    <w:link w:val="5"/>
    <w:qFormat/>
    <w:uiPriority w:val="0"/>
    <w:rPr>
      <w:rFonts w:ascii="Times New Roman" w:hAnsi="Times New Roman" w:eastAsia="思源宋体 CN Light" w:cs="Times New Roman"/>
      <w:b/>
      <w:bCs/>
      <w:sz w:val="28"/>
      <w:szCs w:val="18"/>
    </w:rPr>
  </w:style>
  <w:style w:type="character" w:customStyle="1" w:styleId="36">
    <w:name w:val="标题 4 Char"/>
    <w:basedOn w:val="22"/>
    <w:link w:val="6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37">
    <w:name w:val="标题 5 Char"/>
    <w:basedOn w:val="22"/>
    <w:link w:val="7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paragraph" w:customStyle="1" w:styleId="38">
    <w:name w:val="列出段落1"/>
    <w:basedOn w:val="1"/>
    <w:qFormat/>
    <w:uiPriority w:val="34"/>
  </w:style>
  <w:style w:type="paragraph" w:customStyle="1" w:styleId="39">
    <w:name w:val="2"/>
    <w:basedOn w:val="1"/>
    <w:link w:val="40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40">
    <w:name w:val="2 Char"/>
    <w:basedOn w:val="22"/>
    <w:link w:val="39"/>
    <w:qFormat/>
    <w:uiPriority w:val="0"/>
    <w:rPr>
      <w:rFonts w:ascii="Times New Roman" w:hAnsi="Times New Roman" w:eastAsia="宋体" w:cs="Times New Roman"/>
      <w:spacing w:val="4"/>
      <w:szCs w:val="24"/>
    </w:rPr>
  </w:style>
  <w:style w:type="paragraph" w:styleId="41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42">
    <w:name w:val="批注框文本 Char"/>
    <w:basedOn w:val="22"/>
    <w:link w:val="1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44">
    <w:name w:val="1"/>
    <w:basedOn w:val="1"/>
    <w:link w:val="45"/>
    <w:qFormat/>
    <w:uiPriority w:val="0"/>
    <w:pPr>
      <w:ind w:firstLine="0" w:firstLineChars="0"/>
    </w:pPr>
  </w:style>
  <w:style w:type="character" w:customStyle="1" w:styleId="45">
    <w:name w:val="1 Char"/>
    <w:basedOn w:val="22"/>
    <w:link w:val="44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6">
    <w:name w:val="TOC 标题1"/>
    <w:basedOn w:val="3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  <w:style w:type="paragraph" w:customStyle="1" w:styleId="47">
    <w:name w:val="图表a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rFonts w:hint="eastAsia" w:ascii="Times New Roman" w:hAnsi="Times New Roman" w:eastAsia="思源宋体 CN Light" w:cs="思源宋体 CN"/>
      <w:spacing w:val="6"/>
    </w:rPr>
  </w:style>
  <w:style w:type="paragraph" w:customStyle="1" w:styleId="48">
    <w:name w:val="无间隔1"/>
    <w:basedOn w:val="1"/>
    <w:qFormat/>
    <w:uiPriority w:val="0"/>
    <w:pPr>
      <w:widowControl/>
      <w:spacing w:line="360" w:lineRule="auto"/>
      <w:jc w:val="left"/>
    </w:pPr>
    <w:rPr>
      <w:rFonts w:ascii="Verdana" w:hAnsi="Verdana" w:eastAsia="微软雅黑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jpe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1D3FC3-F3CB-4DF6-A5E2-26532817D7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1344</Words>
  <Characters>1421</Characters>
  <Lines>17</Lines>
  <Paragraphs>4</Paragraphs>
  <TotalTime>58</TotalTime>
  <ScaleCrop>false</ScaleCrop>
  <LinksUpToDate>false</LinksUpToDate>
  <CharactersWithSpaces>1486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2016-11-14T08:27:00Z</dcterms:created>
  <dc:creator>chenyj</dc:creator>
  <cp:lastModifiedBy>Ivy</cp:lastModifiedBy>
  <dcterms:modified xsi:type="dcterms:W3CDTF">2022-05-09T07:51:31Z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A35AFD15D999474C97303CB343B8BE7D</vt:lpwstr>
  </property>
</Properties>
</file>